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400"/>
        <w:jc w:val="center"/>
      </w:pPr>
      <w:r>
        <w:rPr>
          <w:b/>
          <w:bCs/>
          <w:color w:val="2E5A1C"/>
          <w:sz w:val="40"/>
          <w:szCs w:val="40"/>
        </w:rPr>
        <w:t xml:space="preserve">ANEXO OPERATIVO — CORTO PLAZO</w:t>
      </w:r>
    </w:p>
    <w:p>
      <w:pPr>
        <w:pBdr>
          <w:bottom w:val="single" w:color="4A7A2E" w:sz="12" w:space="6"/>
        </w:pBdr>
        <w:spacing w:before="120"/>
        <w:jc w:val="center"/>
      </w:pPr>
      <w:r>
        <w:rPr>
          <w:sz w:val="8"/>
          <w:szCs w:val="8"/>
        </w:rPr>
        <w:t xml:space="preserve"/>
      </w:r>
    </w:p>
    <w:p>
      <w:pPr>
        <w:spacing w:before="280"/>
        <w:jc w:val="center"/>
      </w:pPr>
      <w:r>
        <w:rPr>
          <w:b/>
          <w:bCs/>
          <w:color w:val="000000"/>
          <w:sz w:val="26"/>
          <w:szCs w:val="26"/>
        </w:rPr>
        <w:t xml:space="preserve">Órdenes de trabajo para el primer mes</w:t>
      </w:r>
    </w:p>
    <w:p>
      <w:pPr>
        <w:spacing w:before="80"/>
        <w:jc w:val="center"/>
      </w:pPr>
      <w:r>
        <w:rPr>
          <w:color w:val="555555"/>
          <w:sz w:val="22"/>
          <w:szCs w:val="22"/>
        </w:rPr>
        <w:t xml:space="preserve">Finca La Lomita — Río Jiménez, Guácimo, Limón</w:t>
      </w:r>
    </w:p>
    <w:p>
      <w:pPr>
        <w:spacing w:before="700"/>
        <w:jc w:val="center"/>
      </w:pPr>
      <w:r>
        <w:rPr>
          <w:i/>
          <w:iCs/>
          <w:color w:val="444444"/>
          <w:sz w:val="19"/>
          <w:szCs w:val="19"/>
        </w:rPr>
        <w:t xml:space="preserve">Complemento del Plan de Manejo Regenerativo de Suelos y Pasturas</w:t>
      </w:r>
    </w:p>
    <w:p>
      <w:pPr>
        <w:spacing w:before="20"/>
        <w:jc w:val="center"/>
      </w:pPr>
      <w:r>
        <w:rPr>
          <w:i/>
          <w:iCs/>
          <w:color w:val="444444"/>
          <w:sz w:val="19"/>
          <w:szCs w:val="19"/>
        </w:rPr>
        <w:t xml:space="preserve">Aterriza la sección 7.1 (Corto plazo) en tareas concretas y asignables al personal.</w:t>
      </w:r>
    </w:p>
    <w:p>
      <w:pPr>
        <w:spacing w:before="900"/>
        <w:jc w:val="center"/>
      </w:pPr>
      <w:r>
        <w:rPr>
          <w:color w:val="777777"/>
          <w:sz w:val="18"/>
          <w:szCs w:val="18"/>
        </w:rPr>
        <w:t xml:space="preserve">Documento para imprimir y usar en campo</w:t>
      </w:r>
    </w:p>
    <w:p>
      <w:r>
        <w:br w:type="page"/>
      </w:r>
    </w:p>
    <w:p>
      <w:pPr>
        <w:pStyle w:val="Heading1"/>
      </w:pPr>
      <w:r>
        <w:t xml:space="preserve">1. Reglas de oro de este mes</w:t>
      </w:r>
    </w:p>
    <w:p>
      <w:pPr>
        <w:spacing w:after="140" w:before="0" w:line="276"/>
      </w:pPr>
      <w:r>
        <w:t xml:space="preserve">Antes de cualquier tarea, todo el personal debe tener claras estas cinco reglas. Son las que evitan que el trabajo de este mes se pierda o estorbe lo que decidamos más adelante con los datos del nivel freático.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F0E0" w:sz="1"/>
              <w:left w:val="single" w:color="2E5A1C" w:sz="24"/>
              <w:bottom w:val="single" w:color="E8F0E0" w:sz="1"/>
              <w:right w:val="single" w:color="E8F0E0" w:sz="1"/>
            </w:tcBorders>
            <w:shd w:fill="E8F0E0" w:val="clear"/>
            <w:tcMar>
              <w:top w:type="dxa" w:w="150"/>
              <w:left w:type="dxa" w:w="220"/>
              <w:bottom w:type="dxa" w:w="150"/>
              <w:right w:type="dxa" w:w="200"/>
            </w:tcMar>
          </w:tcPr>
          <w:p>
            <w:pPr>
              <w:spacing w:after="80"/>
            </w:pPr>
            <w:r>
              <w:rPr>
                <w:b/>
                <w:bCs/>
                <w:color w:val="2E5A1C"/>
                <w:sz w:val="20"/>
                <w:szCs w:val="20"/>
              </w:rPr>
              <w:t xml:space="preserve">Las 5 reglas que no se rompen</w:t>
            </w:r>
          </w:p>
          <w:p>
            <w:pPr>
              <w:spacing w:after="80" w:line="264"/>
            </w:pPr>
            <w:r>
              <w:rPr>
                <w:b w:val="false"/>
                <w:bCs w:val="false"/>
                <w:sz w:val="19"/>
                <w:szCs w:val="19"/>
              </w:rPr>
              <w:t xml:space="preserve">1. Solo se interviene la ZONA ALTA: N1 (Frente a calle) y la parte buena de La Elena (tierra adentro, NO la franja del dique). Estas zonas drenan bien y no dependen de los canales.</w:t>
            </w:r>
          </w:p>
          <w:p>
            <w:pPr>
              <w:spacing w:after="80" w:line="264"/>
            </w:pPr>
            <w:r>
              <w:rPr>
                <w:b w:val="false"/>
                <w:bCs w:val="false"/>
                <w:sz w:val="19"/>
                <w:szCs w:val="19"/>
              </w:rPr>
              <w:t xml:space="preserve">2. NO se aplica nada en la parte baja (El Bambú N2, Planes N3, La Luisa N4) todavía. Ahí, este mes, solo pastoreo y lectura de piezómetros. Esperamos los datos antes de invertir.</w:t>
            </w:r>
          </w:p>
          <w:p>
            <w:pPr>
              <w:spacing w:after="80" w:line="264"/>
            </w:pPr>
            <w:r>
              <w:rPr>
                <w:b w:val="false"/>
                <w:bCs w:val="false"/>
                <w:sz w:val="19"/>
                <w:szCs w:val="19"/>
              </w:rPr>
              <w:t xml:space="preserve">3. NO se toca la franja del dique de La Elena ni La Lomita con enmiendas este mes. La Lomita es mediano plazo.</w:t>
            </w:r>
          </w:p>
          <w:p>
            <w:pPr>
              <w:spacing w:after="80" w:line="264"/>
            </w:pPr>
            <w:r>
              <w:rPr>
                <w:b w:val="false"/>
                <w:bCs w:val="false"/>
                <w:sz w:val="19"/>
                <w:szCs w:val="19"/>
              </w:rPr>
              <w:t xml:space="preserve">4. Siempre se aplica sobre potrero RECIÉN PASTOREADO (que el ganado acaba de comer), nunca sobre pasto alto y cerrado.</w:t>
            </w:r>
          </w:p>
          <w:p>
            <w:pPr>
              <w:spacing w:after="80" w:line="264"/>
            </w:pPr>
            <w:r>
              <w:rPr>
                <w:b w:val="false"/>
                <w:bCs w:val="false"/>
                <w:sz w:val="19"/>
                <w:szCs w:val="19"/>
              </w:rPr>
              <w:t xml:space="preserve">5. El foliar y los MM se aplican TEMPRANO en la mañana (antes de que caliente el sol) o al atardecer. Nunca a pleno sol ni en día de lluvia fuerte.</w:t>
            </w:r>
          </w:p>
        </w:tc>
      </w:tr>
    </w:tbl>
    <w:p>
      <w:pPr>
        <w:spacing w:after="60" w:before="0" w:line="276"/>
      </w:pPr>
      <w:r>
        <w:t xml:space="preserve"/>
      </w:r>
    </w:p>
    <w:p>
      <w:pPr>
        <w:spacing w:after="120" w:before="0" w:line="276"/>
      </w:pPr>
      <w:r>
        <w:t xml:space="preserve">Por qué estas reglas: la parte baja podría necesitar drenaje nuevo según lo que muestren los piezómetros en los próximos meses. Si abonáramos ahí ahora y luego hay que abrir un canal, perderíamos el trabajo y el insumo. La zona alta, en cambio, no va a cambiar con los datos del freático: lo que hagamos ahí queda firme.</w:t>
      </w:r>
    </w:p>
    <w:p>
      <w:r>
        <w:br w:type="page"/>
      </w:r>
    </w:p>
    <w:p>
      <w:pPr>
        <w:pStyle w:val="Heading1"/>
      </w:pPr>
      <w:r>
        <w:t xml:space="preserve">2. Qué se necesita antes de arrancar</w:t>
      </w:r>
    </w:p>
    <w:p>
      <w:pPr>
        <w:pStyle w:val="Heading2"/>
      </w:pPr>
      <w:r>
        <w:t xml:space="preserve">2.1 Insumos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900"/>
        <w:gridCol w:w="4460"/>
      </w:tblGrid>
      <w:tr>
        <w:trPr>
          <w:tblHeader/>
        </w:trP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Insumo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¿Lo tenemos?</w:t>
            </w:r>
          </w:p>
        </w:tc>
        <w:tc>
          <w:tcPr>
            <w:tcW w:type="dxa" w:w="4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Acción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Microorganismos de Montaña (MM)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E5A1C"/>
                <w:sz w:val="18"/>
                <w:szCs w:val="18"/>
              </w:rPr>
              <w:t xml:space="preserve">Sí, en finca</w:t>
            </w:r>
          </w:p>
        </w:tc>
        <w:tc>
          <w:tcPr>
            <w:tcW w:type="dxa" w:w="4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Verificar que haya volumen suficiente y esté activo (olor agradable, no podrido)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Melaza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color w:val="2E5A1C"/>
                <w:sz w:val="18"/>
                <w:szCs w:val="18"/>
              </w:rPr>
              <w:t xml:space="preserve">Sí, en finca</w:t>
            </w:r>
          </w:p>
        </w:tc>
        <w:tc>
          <w:tcPr>
            <w:tcW w:type="dxa" w:w="4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Se usa poca cantidad por estañón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Urea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color w:val="2E5A1C"/>
                <w:sz w:val="18"/>
                <w:szCs w:val="18"/>
              </w:rPr>
              <w:t xml:space="preserve">Sí, en finca</w:t>
            </w:r>
          </w:p>
        </w:tc>
        <w:tc>
          <w:tcPr>
            <w:tcW w:type="dxa" w:w="4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Arrancador foliar, dosis baja y decreciente (ver nota)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Bayfolan Forte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color w:val="E8821A"/>
                <w:sz w:val="18"/>
                <w:szCs w:val="18"/>
              </w:rPr>
              <w:t xml:space="preserve">Comprar (ya pedido)</w:t>
            </w:r>
          </w:p>
        </w:tc>
        <w:tc>
          <w:tcPr>
            <w:tcW w:type="dxa" w:w="4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Complemento de micronutrientes. Ya mandado a comprar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Micorrizas (inoculante comercial)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E8821A"/>
                <w:sz w:val="18"/>
                <w:szCs w:val="18"/>
              </w:rPr>
              <w:t xml:space="preserve">Comprar</w:t>
            </w:r>
          </w:p>
        </w:tc>
        <w:tc>
          <w:tcPr>
            <w:tcW w:type="dxa" w:w="4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ÚNICA compra recomendada este mes. Una sola aplicación al suelo del Grupo A</w:t>
            </w:r>
          </w:p>
        </w:tc>
      </w:tr>
      <w:tr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Trichoderma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888888"/>
                <w:sz w:val="18"/>
                <w:szCs w:val="18"/>
              </w:rPr>
              <w:t xml:space="preserve">No comprar</w:t>
            </w:r>
          </w:p>
        </w:tc>
        <w:tc>
          <w:tcPr>
            <w:tcW w:type="dxa" w:w="4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El MM bien hecho ya lo contiene. No gastar aparte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FF3E0" w:sz="1"/>
              <w:left w:val="single" w:color="E8821A" w:sz="24"/>
              <w:bottom w:val="single" w:color="FFF3E0" w:sz="1"/>
              <w:right w:val="single" w:color="FFF3E0" w:sz="1"/>
            </w:tcBorders>
            <w:shd w:fill="FFF3E0" w:val="clear"/>
            <w:tcMar>
              <w:top w:type="dxa" w:w="150"/>
              <w:left w:type="dxa" w:w="220"/>
              <w:bottom w:type="dxa" w:w="150"/>
              <w:right w:type="dxa" w:w="200"/>
            </w:tcMar>
          </w:tcPr>
          <w:p>
            <w:pPr>
              <w:spacing w:after="80" w:line="264"/>
            </w:pPr>
            <w:r>
              <w:rPr>
                <w:i/>
                <w:iCs/>
                <w:sz w:val="19"/>
                <w:szCs w:val="19"/>
              </w:rPr>
              <w:t xml:space="preserve">Nota sobre la urea: la mantenemos como arrancador mientras los MM se establecen, pero es OPCIONAL y DECRECIENTE. Primera vuelta 3 kg/ha; en cada ciclo siguiente bajarla (3 → 2 → 1 → 0) a medida que la biología y las leguminosas toman el relevo. No es el sostén del potrero, es solo un empujón inicial.</w:t>
            </w:r>
          </w:p>
        </w:tc>
      </w:tr>
    </w:tbl>
    <w:p>
      <w:pPr>
        <w:pStyle w:val="Heading2"/>
      </w:pPr>
      <w:r>
        <w:t xml:space="preserve">2.2 Equipo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Guadaña / motoguadaña </w:t>
      </w:r>
      <w:r>
        <w:t xml:space="preserve">— para la chapea selectiva del pasto pasado.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Bomba de espalda de gasolina (27 L) </w:t>
      </w:r>
      <w:r>
        <w:t xml:space="preserve">— para aplicar la mezcla foliar y los MM líquidos.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Cinta métrica o sonda </w:t>
      </w:r>
      <w:r>
        <w:t xml:space="preserve">— para las lecturas de piezómetros (limpiarla entre puntos).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Agua sin cloro </w:t>
      </w:r>
      <w:r>
        <w:t xml:space="preserve">— de pozo o lluvia; si es de tubo, dejarla reposar 24 h antes de mezclar con MM.</w:t>
      </w:r>
    </w:p>
    <w:p>
      <w:r>
        <w:br w:type="page"/>
      </w:r>
    </w:p>
    <w:p>
      <w:pPr>
        <w:pStyle w:val="Heading1"/>
      </w:pPr>
      <w:r>
        <w:t xml:space="preserve">3. Receta foliar estándar (la que ya conocemos)</w:t>
      </w:r>
    </w:p>
    <w:p>
      <w:pPr>
        <w:spacing w:after="130" w:before="0" w:line="276"/>
      </w:pPr>
      <w:r>
        <w:t xml:space="preserve">Es la misma mezcla que la finca ya preparó antes y que dio buen resultado. La gente ya la conoce. Para el Grupo A (zona alta). La unidad de preparación es el estañón de 200 litros, que cubre una hectárea.</w:t>
      </w:r>
    </w:p>
    <w:p>
      <w:pPr>
        <w:pStyle w:val="Heading2"/>
      </w:pPr>
      <w:r>
        <w:t xml:space="preserve">3.1 Mezcla por estañón de 200 litros (= 1 hectárea)</w:t>
      </w:r>
    </w:p>
    <w:p>
      <w:pPr>
        <w:spacing w:after="130" w:before="0" w:line="276"/>
      </w:pPr>
      <w:r>
        <w:t xml:space="preserve">La unidad de trabajo es el estañón: se lleva al potrero, se llena con agua de pozo y se prepara la mezcla completa ahí mismo. De ese estañón se recarga la bomba de espalda las veces que haga falta. Un estañón de 200 litros rinde para una hectárea (unas 7 a 7 bombas y media de 27 litros).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880"/>
        <w:gridCol w:w="2880"/>
      </w:tblGrid>
      <w:tr>
        <w:trPr>
          <w:tblHeader/>
        </w:trP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Ingrediente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Por estañón (200 L) = 1 ha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Por bomba (27 L)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Microorganismos de Montaña (MM)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4,5 litros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625 ml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Melaza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0,5 litros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65 ml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Bayfolan Forte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1,8 litros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250 ml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color w:val="E8821A"/>
                <w:sz w:val="18"/>
                <w:szCs w:val="18"/>
              </w:rPr>
              <w:t xml:space="preserve">Urea (opcional, decreciente)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color w:val="E8821A"/>
                <w:sz w:val="18"/>
                <w:szCs w:val="18"/>
              </w:rPr>
              <w:t xml:space="preserve">2,75 kg (1.ª vuelta)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color w:val="E8821A"/>
                <w:sz w:val="18"/>
                <w:szCs w:val="18"/>
              </w:rPr>
              <w:t xml:space="preserve">375 g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Agua de pozo (completar)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hasta 200 litros</w:t>
            </w:r>
          </w:p>
        </w:tc>
        <w:tc>
          <w:tcPr>
            <w:tcW w:type="dxa" w:w="28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hasta 27 litros</w:t>
            </w:r>
          </w:p>
        </w:tc>
      </w:tr>
    </w:tbl>
    <w:p>
      <w:pPr>
        <w:spacing w:after="130" w:before="0" w:line="276"/>
      </w:pPr>
      <w:r>
        <w:rPr>
          <w:i/>
          <w:iCs/>
          <w:color w:val="777777"/>
          <w:sz w:val="17"/>
          <w:szCs w:val="17"/>
        </w:rPr>
        <w:t xml:space="preserve">La columna por bomba sirve solo si en algún momento se prepara una bomba suelta. Lo normal es preparar el estañón completo.</w:t>
      </w:r>
    </w:p>
    <w:p>
      <w:pPr>
        <w:pStyle w:val="Heading2"/>
      </w:pPr>
      <w:r>
        <w:t xml:space="preserve">3.2 Preparación en el potrero (estañón de 200 L)</w:t>
      </w:r>
    </w:p>
    <w:p>
      <w:pPr>
        <w:pStyle w:val="ListParagraph"/>
        <w:numPr>
          <w:ilvl w:val="0"/>
          <w:numId w:val="3"/>
        </w:numPr>
        <w:spacing w:after="90" w:line="270"/>
      </w:pPr>
      <w:r>
        <w:rPr>
          <w:b/>
          <w:bCs/>
        </w:rPr>
        <w:t xml:space="preserve">Llevar el estañón al potrero </w:t>
      </w:r>
      <w:r>
        <w:t xml:space="preserve">y llenarlo con agua de pozo hasta unos tres cuartos (~150 L), dejando espacio para mezclar.</w:t>
      </w:r>
    </w:p>
    <w:p>
      <w:pPr>
        <w:pStyle w:val="ListParagraph"/>
        <w:numPr>
          <w:ilvl w:val="0"/>
          <w:numId w:val="3"/>
        </w:numPr>
        <w:spacing w:after="90" w:line="270"/>
      </w:pPr>
      <w:r>
        <w:t xml:space="preserve">Disolver </w:t>
      </w:r>
      <w:r>
        <w:rPr>
          <w:b/>
          <w:bCs/>
        </w:rPr>
        <w:t xml:space="preserve">2,75 kg de urea</w:t>
      </w:r>
      <w:r>
        <w:t xml:space="preserve"> aparte, en un balde con agua tibia, y verterla al estañón. (Omitir si la vuelta va sin urea.)</w:t>
      </w:r>
    </w:p>
    <w:p>
      <w:pPr>
        <w:pStyle w:val="ListParagraph"/>
        <w:numPr>
          <w:ilvl w:val="0"/>
          <w:numId w:val="3"/>
        </w:numPr>
        <w:spacing w:after="90" w:line="270"/>
      </w:pPr>
      <w:r>
        <w:t xml:space="preserve">Diluir </w:t>
      </w:r>
      <w:r>
        <w:rPr>
          <w:b/>
          <w:bCs/>
        </w:rPr>
        <w:t xml:space="preserve">la melaza (0,5 L)</w:t>
      </w:r>
      <w:r>
        <w:t xml:space="preserve"> en otro balde con agua y verterla al estañón. Mezclar.</w:t>
      </w:r>
    </w:p>
    <w:p>
      <w:pPr>
        <w:pStyle w:val="ListParagraph"/>
        <w:numPr>
          <w:ilvl w:val="0"/>
          <w:numId w:val="3"/>
        </w:numPr>
        <w:spacing w:after="90" w:line="270"/>
      </w:pPr>
      <w:r>
        <w:t xml:space="preserve">Agregar </w:t>
      </w:r>
      <w:r>
        <w:rPr>
          <w:b/>
          <w:bCs/>
        </w:rPr>
        <w:t xml:space="preserve">1,8 L de Bayfolan Forte</w:t>
      </w:r>
      <w:r>
        <w:t xml:space="preserve"> y revolver.</w:t>
      </w:r>
    </w:p>
    <w:p>
      <w:pPr>
        <w:pStyle w:val="ListParagraph"/>
        <w:numPr>
          <w:ilvl w:val="0"/>
          <w:numId w:val="3"/>
        </w:numPr>
        <w:spacing w:after="90" w:line="270"/>
      </w:pPr>
      <w:r>
        <w:t xml:space="preserve">Añadir </w:t>
      </w:r>
      <w:r>
        <w:rPr>
          <w:b/>
          <w:bCs/>
        </w:rPr>
        <w:t xml:space="preserve">4,5 L de MM al final</w:t>
      </w:r>
      <w:r>
        <w:t xml:space="preserve">, revolviendo suave (los microorganismos son delicados).</w:t>
      </w:r>
    </w:p>
    <w:p>
      <w:pPr>
        <w:pStyle w:val="ListParagraph"/>
        <w:numPr>
          <w:ilvl w:val="0"/>
          <w:numId w:val="3"/>
        </w:numPr>
        <w:spacing w:after="90" w:line="270"/>
      </w:pPr>
      <w:r>
        <w:rPr>
          <w:b/>
          <w:bCs/>
        </w:rPr>
        <w:t xml:space="preserve">Completar con agua de pozo hasta los 200 L. </w:t>
      </w:r>
      <w:r>
        <w:t xml:space="preserve">Recargar la bomba desde el estañón y aplicar de inmediato.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F0E0" w:sz="1"/>
              <w:left w:val="single" w:color="4A7A2E" w:sz="24"/>
              <w:bottom w:val="single" w:color="E8F0E0" w:sz="1"/>
              <w:right w:val="single" w:color="E8F0E0" w:sz="1"/>
            </w:tcBorders>
            <w:shd w:fill="E8F0E0" w:val="clear"/>
            <w:tcMar>
              <w:top w:type="dxa" w:w="150"/>
              <w:left w:type="dxa" w:w="220"/>
              <w:bottom w:type="dxa" w:w="150"/>
              <w:right w:type="dxa" w:w="200"/>
            </w:tcMar>
          </w:tcPr>
          <w:p>
            <w:pPr>
              <w:spacing w:after="80"/>
            </w:pPr>
            <w:r>
              <w:rPr>
                <w:b/>
                <w:bCs/>
                <w:color w:val="2E5A1C"/>
                <w:sz w:val="20"/>
                <w:szCs w:val="20"/>
              </w:rPr>
              <w:t xml:space="preserve">Reglas de aplicación foliar</w:t>
            </w:r>
          </w:p>
          <w:p>
            <w:pPr>
              <w:spacing w:after="80" w:line="264"/>
            </w:pPr>
            <w:r>
              <w:rPr>
                <w:b w:val="false"/>
                <w:bCs w:val="false"/>
                <w:sz w:val="19"/>
                <w:szCs w:val="19"/>
              </w:rPr>
              <w:t xml:space="preserve">• Agua de pozo o lluvia, nunca de tubo con cloro (mata los MM). Si solo hay agua de tubo, dejarla reposar 24 h.</w:t>
            </w:r>
          </w:p>
          <w:p>
            <w:pPr>
              <w:spacing w:after="80" w:line="264"/>
            </w:pPr>
            <w:r>
              <w:rPr>
                <w:b w:val="false"/>
                <w:bCs w:val="false"/>
                <w:sz w:val="19"/>
                <w:szCs w:val="19"/>
              </w:rPr>
              <w:t xml:space="preserve">• Preparar el estañón el mismo día que se aplica — los MM pierden efectividad si la mezcla se guarda.</w:t>
            </w:r>
          </w:p>
          <w:p>
            <w:pPr>
              <w:spacing w:after="80" w:line="264"/>
            </w:pPr>
            <w:r>
              <w:rPr>
                <w:b w:val="false"/>
                <w:bCs w:val="false"/>
                <w:sz w:val="19"/>
                <w:szCs w:val="19"/>
              </w:rPr>
              <w:t xml:space="preserve">• Aplicar sobre el potrero recién pastoreado, con el pasto bajo y la hoja accesible.</w:t>
            </w:r>
          </w:p>
          <w:p>
            <w:pPr>
              <w:spacing w:after="80" w:line="264"/>
            </w:pPr>
            <w:r>
              <w:rPr>
                <w:b w:val="false"/>
                <w:bCs w:val="false"/>
                <w:sz w:val="19"/>
                <w:szCs w:val="19"/>
              </w:rPr>
              <w:t xml:space="preserve">• No aplicar en día de lluvia fuerte — se lava todo.</w:t>
            </w:r>
          </w:p>
        </w:tc>
      </w:tr>
    </w:tbl>
    <w:p>
      <w:pPr>
        <w:pStyle w:val="Heading2"/>
      </w:pPr>
      <w:r>
        <w:t xml:space="preserve">3.3 Cuándo preparar y a qué hora aplicar</w:t>
      </w:r>
    </w:p>
    <w:p>
      <w:pPr>
        <w:spacing w:after="110" w:before="0" w:line="276"/>
      </w:pPr>
      <w:r>
        <w:t xml:space="preserve">La ventana buena es la mañana, que es además cuando los peones tienen tiempo. La rutina se ajusta a la jornada real de la finca: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Ventana principal — mañana (6:00 a 10:00/11:00 a.m.): </w:t>
      </w:r>
      <w:r>
        <w:t xml:space="preserve">es la franja realmente aprovechable. Sol suave, sin calor fuerte, los MM no se mueren y la urea no quema. Aquí se prepara el estañón y se aplica.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Preparar al inicio, no antes: </w:t>
      </w:r>
      <w:r>
        <w:t xml:space="preserve">armar el estañón ya en el potrero a primera hora, no la noche anterior. La mezcla con MM se usa el mismo día, idealmente dentro de pocas horas de preparada.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Tarde — solo si el clima y las tareas lo permiten: </w:t>
      </w:r>
      <w:r>
        <w:t xml:space="preserve">a media tarde (después de las 3:30/4:00 p.m., con el sol ya bajando) se puede continuar, pero NO es obligatorio. La tarde suele ocupar a los peones en cerca eléctrica, dar de comer al ganado y otras labores.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Nunca al mediodía ni a pleno sol: </w:t>
      </w:r>
      <w:r>
        <w:t xml:space="preserve">entre las 11 a.m. y las 3 p.m. el calor mata los microorganismos y quema la hoja. Esa franja se evita siempre.</w:t>
      </w:r>
    </w:p>
    <w:p>
      <w:pPr>
        <w:spacing w:after="120" w:before="0" w:line="276"/>
      </w:pPr>
      <w:r>
        <w:t xml:space="preserve">En la práctica: una cuadrilla en una mañana buena (4–5 horas) alcanza a preparar y aplicar uno o dos estañones, es decir, cubrir una o dos hectáreas del Grupo A. No hace falta forzar la tarde.</w:t>
      </w:r>
    </w:p>
    <w:p>
      <w:r>
        <w:br w:type="page"/>
      </w:r>
    </w:p>
    <w:p>
      <w:pPr>
        <w:pStyle w:val="Heading1"/>
      </w:pPr>
      <w:r>
        <w:t xml:space="preserve">4. Protocolo de guadaña (chapea selectiva)</w:t>
      </w:r>
    </w:p>
    <w:p>
      <w:pPr>
        <w:spacing w:after="130" w:before="0" w:line="276"/>
      </w:pPr>
      <w:r>
        <w:t xml:space="preserve">Como no hay tractor, la guadaña es la herramienta para emparejar el pasto que se pasó de punto y dejar mantillo sobre el suelo. No se chapea todo: solo donde haga falta.</w:t>
      </w:r>
    </w:p>
    <w:p>
      <w:pPr>
        <w:pStyle w:val="Heading2"/>
      </w:pPr>
      <w:r>
        <w:t xml:space="preserve">4.1 Cuándo chapear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Solo en potreros del Grupo A </w:t>
      </w:r>
      <w:r>
        <w:t xml:space="preserve">donde el pasto quedó alto, encañado o sazón (que el ganado no se comió bien).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Justo después de que el ganado salió del potrero </w:t>
      </w:r>
      <w:r>
        <w:t xml:space="preserve">— se chapea lo que el animal dejó parado.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Antes de aplicar el foliar </w:t>
      </w:r>
      <w:r>
        <w:t xml:space="preserve">— primero se empareja, luego se abona. La chapea abre la hoja para que el foliar llegue al rebrote nuevo.</w:t>
      </w:r>
    </w:p>
    <w:p>
      <w:pPr>
        <w:pStyle w:val="Heading2"/>
      </w:pPr>
      <w:r>
        <w:t xml:space="preserve">4.2 Cómo chapear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Altura de corte: </w:t>
      </w:r>
      <w:r>
        <w:t xml:space="preserve">dejar entre 10 y 15 cm de remanente. NUNCA cortar a ras — el pasto necesita hoja para rebrotar y el suelo necesita quedar cubierto.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Dejar el material cortado en el suelo </w:t>
      </w:r>
      <w:r>
        <w:t xml:space="preserve">como mantillo — no recogerlo. Eso alimenta la tierra y la biología. Es parte del trabajo, no basura.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b/>
          <w:bCs/>
        </w:rPr>
        <w:t xml:space="preserve">No chapear si el pasto está en buen punto </w:t>
      </w:r>
      <w:r>
        <w:t xml:space="preserve">— si el ganado lo comió parejo, no hace falta. La guadaña es para corregir, no por rutina.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F0E0" w:sz="1"/>
              <w:left w:val="single" w:color="4A7A2E" w:sz="24"/>
              <w:bottom w:val="single" w:color="E8F0E0" w:sz="1"/>
              <w:right w:val="single" w:color="E8F0E0" w:sz="1"/>
            </w:tcBorders>
            <w:shd w:fill="E8F0E0" w:val="clear"/>
            <w:tcMar>
              <w:top w:type="dxa" w:w="150"/>
              <w:left w:type="dxa" w:w="220"/>
              <w:bottom w:type="dxa" w:w="150"/>
              <w:right w:type="dxa" w:w="200"/>
            </w:tcMar>
          </w:tcPr>
          <w:p>
            <w:pPr>
              <w:spacing w:after="80" w:line="264"/>
            </w:pPr>
            <w:r>
              <w:rPr>
                <w:i/>
                <w:iCs/>
                <w:sz w:val="19"/>
                <w:szCs w:val="19"/>
              </w:rPr>
              <w:t xml:space="preserve">Por qué la guadaña y no el ganado: con la carga baja actual, el ganado come selectivo y deja pasto parado, pero no lo pisa lo suficiente para tumbarlo. La guadaña hace ese trabajo de “resetear” el potrero y dejar mantillo, que con pocos animales el pisoteo no logra.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5. Plan de las primeras 4 semanas</w:t>
      </w:r>
    </w:p>
    <w:p>
      <w:pPr>
        <w:spacing w:after="140" w:before="0" w:line="276"/>
      </w:pPr>
      <w:r>
        <w:t xml:space="preserve">Tareas concretas para asignar a la cuadrilla. El ganado sigue su rotación diaria normal (un potrero por día); la cuadrilla trabaja por tandas sobre los potreros del Grupo A que ya quedaron pastoreados, sin perseguir el ritmo diario del hato.</w:t>
      </w:r>
    </w:p>
    <w:p>
      <w:pPr>
        <w:pStyle w:val="Heading2"/>
      </w:pPr>
      <w:r>
        <w:t xml:space="preserve">Semana 1 — Preparación y arranque del monitoreo</w:t>
      </w:r>
    </w:p>
    <w:p>
      <w:pPr>
        <w:pStyle w:val="ListParagraph"/>
        <w:numPr>
          <w:ilvl w:val="0"/>
          <w:numId w:val="4"/>
        </w:numPr>
        <w:spacing w:after="90" w:line="270"/>
      </w:pPr>
      <w:r>
        <w:rPr>
          <w:b/>
          <w:bCs/>
        </w:rPr>
        <w:t xml:space="preserve">Revisar y activar la red de piezómetros: </w:t>
      </w:r>
      <w:r>
        <w:t xml:space="preserve">confirmar que los 16 estén destapados, limpios y con la tapa operativa. Hacer la PRIMERA lectura de línea base de todos (anotar fecha, hora, nivel en cm).</w:t>
      </w:r>
    </w:p>
    <w:p>
      <w:pPr>
        <w:pStyle w:val="ListParagraph"/>
        <w:numPr>
          <w:ilvl w:val="0"/>
          <w:numId w:val="4"/>
        </w:numPr>
        <w:spacing w:after="90" w:line="270"/>
      </w:pPr>
      <w:r>
        <w:rPr>
          <w:b/>
          <w:bCs/>
        </w:rPr>
        <w:t xml:space="preserve">Inventario de insumos: </w:t>
      </w:r>
      <w:r>
        <w:t xml:space="preserve">medir cuánto MM hay y verificar que esté activo. Revisar melaza, urea, Bayfolan. Comprar micorrizas.</w:t>
      </w:r>
    </w:p>
    <w:p>
      <w:pPr>
        <w:pStyle w:val="ListParagraph"/>
        <w:numPr>
          <w:ilvl w:val="0"/>
          <w:numId w:val="4"/>
        </w:numPr>
        <w:spacing w:after="90" w:line="270"/>
      </w:pPr>
      <w:r>
        <w:rPr>
          <w:b/>
          <w:bCs/>
        </w:rPr>
        <w:t xml:space="preserve">Identificar los potreros del Grupo A </w:t>
      </w:r>
      <w:r>
        <w:t xml:space="preserve">(N1 y parte buena de La Elena) y marcar cuáles necesitan chapea (pasto pasado) y cuáles no.</w:t>
      </w:r>
    </w:p>
    <w:p>
      <w:pPr>
        <w:pStyle w:val="ListParagraph"/>
        <w:numPr>
          <w:ilvl w:val="0"/>
          <w:numId w:val="4"/>
        </w:numPr>
        <w:spacing w:after="90" w:line="270"/>
      </w:pPr>
      <w:r>
        <w:rPr>
          <w:b/>
          <w:bCs/>
        </w:rPr>
        <w:t xml:space="preserve">Mantenimiento preventivo: </w:t>
      </w:r>
      <w:r>
        <w:t xml:space="preserve">limpiar canales y revisar el dique de La Elena mientras está seco.</w:t>
      </w:r>
    </w:p>
    <w:p>
      <w:pPr>
        <w:pStyle w:val="Heading2"/>
      </w:pPr>
      <w:r>
        <w:t xml:space="preserve">Semana 2 — Primera intervención del Grupo A</w:t>
      </w:r>
    </w:p>
    <w:p>
      <w:pPr>
        <w:pStyle w:val="ListParagraph"/>
        <w:numPr>
          <w:ilvl w:val="0"/>
          <w:numId w:val="5"/>
        </w:numPr>
        <w:spacing w:after="90" w:line="270"/>
      </w:pPr>
      <w:r>
        <w:rPr>
          <w:b/>
          <w:bCs/>
        </w:rPr>
        <w:t xml:space="preserve">Aplicar micorrizas al suelo </w:t>
      </w:r>
      <w:r>
        <w:t xml:space="preserve">del Grupo A (una sola vez, según etiqueta del producto). Mejor sobre potrero recién pastoreado y húmedo.</w:t>
      </w:r>
    </w:p>
    <w:p>
      <w:pPr>
        <w:pStyle w:val="ListParagraph"/>
        <w:numPr>
          <w:ilvl w:val="0"/>
          <w:numId w:val="5"/>
        </w:numPr>
        <w:spacing w:after="90" w:line="270"/>
      </w:pPr>
      <w:r>
        <w:rPr>
          <w:b/>
          <w:bCs/>
        </w:rPr>
        <w:t xml:space="preserve">Chapear con guadaña </w:t>
      </w:r>
      <w:r>
        <w:t xml:space="preserve">los potreros del Grupo A marcados en la Semana 1, dejando 10–15 cm y el material como mantillo.</w:t>
      </w:r>
    </w:p>
    <w:p>
      <w:pPr>
        <w:pStyle w:val="ListParagraph"/>
        <w:numPr>
          <w:ilvl w:val="0"/>
          <w:numId w:val="5"/>
        </w:numPr>
        <w:spacing w:after="90" w:line="270"/>
      </w:pPr>
      <w:r>
        <w:rPr>
          <w:b/>
          <w:bCs/>
        </w:rPr>
        <w:t xml:space="preserve">Aplicar la mezcla foliar </w:t>
      </w:r>
      <w:r>
        <w:t xml:space="preserve">(receta sección 3) sobre los potreros chapeados, temprano en la mañana. Primera vuelta con urea.</w:t>
      </w:r>
    </w:p>
    <w:p>
      <w:pPr>
        <w:pStyle w:val="ListParagraph"/>
        <w:numPr>
          <w:ilvl w:val="0"/>
          <w:numId w:val="5"/>
        </w:numPr>
        <w:spacing w:after="90" w:line="270"/>
      </w:pPr>
      <w:r>
        <w:rPr>
          <w:b/>
          <w:bCs/>
        </w:rPr>
        <w:t xml:space="preserve">Lectura rutinaria de piezómetros </w:t>
      </w:r>
      <w:r>
        <w:t xml:space="preserve">(día fijo, ej. lunes). Si llovió fuerte, hacer lectura dinámica 12–24 h y 48–72 h después.</w:t>
      </w:r>
    </w:p>
    <w:p>
      <w:pPr>
        <w:pStyle w:val="Heading2"/>
      </w:pPr>
      <w:r>
        <w:t xml:space="preserve">Semana 3 — Continuar y observar</w:t>
      </w:r>
    </w:p>
    <w:p>
      <w:pPr>
        <w:pStyle w:val="ListParagraph"/>
        <w:numPr>
          <w:ilvl w:val="0"/>
          <w:numId w:val="6"/>
        </w:numPr>
        <w:spacing w:after="90" w:line="270"/>
      </w:pPr>
      <w:r>
        <w:rPr>
          <w:b/>
          <w:bCs/>
        </w:rPr>
        <w:t xml:space="preserve">Segunda aplicación foliar de MM </w:t>
      </w:r>
      <w:r>
        <w:t xml:space="preserve">en el Grupo A si los potreros ya volvieron a estar pastoreados. Esta vuelta se puede bajar la urea (de 3 a 2 kg/ha).</w:t>
      </w:r>
    </w:p>
    <w:p>
      <w:pPr>
        <w:pStyle w:val="ListParagraph"/>
        <w:numPr>
          <w:ilvl w:val="0"/>
          <w:numId w:val="6"/>
        </w:numPr>
        <w:spacing w:after="90" w:line="270"/>
      </w:pPr>
      <w:r>
        <w:rPr>
          <w:b/>
          <w:bCs/>
        </w:rPr>
        <w:t xml:space="preserve">Chapear </w:t>
      </w:r>
      <w:r>
        <w:t xml:space="preserve">cualquier potrero del Grupo A que haya quedado disparejo.</w:t>
      </w:r>
    </w:p>
    <w:p>
      <w:pPr>
        <w:pStyle w:val="ListParagraph"/>
        <w:numPr>
          <w:ilvl w:val="0"/>
          <w:numId w:val="6"/>
        </w:numPr>
        <w:spacing w:after="90" w:line="270"/>
      </w:pPr>
      <w:r>
        <w:rPr>
          <w:b/>
          <w:bCs/>
        </w:rPr>
        <w:t xml:space="preserve">Lectura rutinaria de piezómetros </w:t>
      </w:r>
      <w:r>
        <w:t xml:space="preserve">y registro. Anotar observaciones (charcos, zonas que tardan en secar).</w:t>
      </w:r>
    </w:p>
    <w:p>
      <w:pPr>
        <w:pStyle w:val="ListParagraph"/>
        <w:numPr>
          <w:ilvl w:val="0"/>
          <w:numId w:val="6"/>
        </w:numPr>
        <w:spacing w:after="90" w:line="270"/>
      </w:pPr>
      <w:r>
        <w:rPr>
          <w:b/>
          <w:bCs/>
        </w:rPr>
        <w:t xml:space="preserve">Observar respuesta del pasto: </w:t>
      </w:r>
      <w:r>
        <w:t xml:space="preserve">anotar si el rebrote del Grupo A se ve más verde, más rápido, más denso.</w:t>
      </w:r>
    </w:p>
    <w:p>
      <w:pPr>
        <w:pStyle w:val="Heading2"/>
      </w:pPr>
      <w:r>
        <w:t xml:space="preserve">Semana 4 — Cierre del primer ciclo y evaluación</w:t>
      </w:r>
    </w:p>
    <w:p>
      <w:pPr>
        <w:pStyle w:val="ListParagraph"/>
        <w:numPr>
          <w:ilvl w:val="0"/>
          <w:numId w:val="7"/>
        </w:numPr>
        <w:spacing w:after="90" w:line="270"/>
      </w:pPr>
      <w:r>
        <w:rPr>
          <w:b/>
          <w:bCs/>
        </w:rPr>
        <w:t xml:space="preserve">Completar aplicaciones pendientes </w:t>
      </w:r>
      <w:r>
        <w:t xml:space="preserve">del Grupo A.</w:t>
      </w:r>
    </w:p>
    <w:p>
      <w:pPr>
        <w:pStyle w:val="ListParagraph"/>
        <w:numPr>
          <w:ilvl w:val="0"/>
          <w:numId w:val="7"/>
        </w:numPr>
        <w:spacing w:after="90" w:line="270"/>
      </w:pPr>
      <w:r>
        <w:rPr>
          <w:b/>
          <w:bCs/>
        </w:rPr>
        <w:t xml:space="preserve">Revisar el registro de piezómetros del mes: </w:t>
      </w:r>
      <w:r>
        <w:t xml:space="preserve">¿hay algún punto que se mantenga alto? Marcarlo para vigilancia (aún sin intervenir).</w:t>
      </w:r>
    </w:p>
    <w:p>
      <w:pPr>
        <w:pStyle w:val="ListParagraph"/>
        <w:numPr>
          <w:ilvl w:val="0"/>
          <w:numId w:val="7"/>
        </w:numPr>
        <w:spacing w:after="90" w:line="270"/>
      </w:pPr>
      <w:r>
        <w:rPr>
          <w:b/>
          <w:bCs/>
        </w:rPr>
        <w:t xml:space="preserve">Evaluación rápida: </w:t>
      </w:r>
      <w:r>
        <w:t xml:space="preserve">¿cómo respondió el Grupo A? ¿La cuadrilla logró el ritmo? Ajustar el ciclo repetible (sección 6) según lo aprendido.</w:t>
      </w:r>
    </w:p>
    <w:p>
      <w:pPr>
        <w:pStyle w:val="ListParagraph"/>
        <w:numPr>
          <w:ilvl w:val="0"/>
          <w:numId w:val="7"/>
        </w:numPr>
        <w:spacing w:after="90" w:line="270"/>
      </w:pPr>
      <w:r>
        <w:rPr>
          <w:b/>
          <w:bCs/>
        </w:rPr>
        <w:t xml:space="preserve">Decidir la urea de la próxima vuelta: </w:t>
      </w:r>
      <w:r>
        <w:t xml:space="preserve">si el pasto respondió bien al MM, seguir bajándola.</w:t>
      </w:r>
    </w:p>
    <w:p>
      <w:r>
        <w:br w:type="page"/>
      </w:r>
    </w:p>
    <w:p>
      <w:pPr>
        <w:pStyle w:val="Heading1"/>
      </w:pPr>
      <w:r>
        <w:t xml:space="preserve">6. Ciclo repetible (la rutina permanente)</w:t>
      </w:r>
    </w:p>
    <w:p>
      <w:pPr>
        <w:spacing w:after="140" w:before="0" w:line="276"/>
      </w:pPr>
      <w:r>
        <w:t xml:space="preserve">Pasadas las primeras 4 semanas, esto se vuelve la rutina de cada potrero del Grupo A. Es simple y se repite indefinidamente, siguiendo al ganado: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5800"/>
        <w:gridCol w:w="2660"/>
      </w:tblGrid>
      <w:tr>
        <w:trPr>
          <w:tblHeader/>
        </w:trP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Paso</w:t>
            </w:r>
          </w:p>
        </w:tc>
        <w:tc>
          <w:tcPr>
            <w:tcW w:type="dxa" w:w="5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Acción</w:t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Quién / cuándo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E5A1C"/>
                <w:sz w:val="18"/>
                <w:szCs w:val="18"/>
              </w:rPr>
              <w:t xml:space="preserve">1</w:t>
            </w:r>
          </w:p>
        </w:tc>
        <w:tc>
          <w:tcPr>
            <w:tcW w:type="dxa" w:w="5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El ganado pastorea el potrero (1 día)</w:t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Rotación normal del hato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E5A1C"/>
                <w:sz w:val="18"/>
                <w:szCs w:val="18"/>
              </w:rPr>
              <w:t xml:space="preserve">2</w:t>
            </w:r>
          </w:p>
        </w:tc>
        <w:tc>
          <w:tcPr>
            <w:tcW w:type="dxa" w:w="5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El ganado sale al potrero siguiente</w:t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Día siguiente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E5A1C"/>
                <w:sz w:val="18"/>
                <w:szCs w:val="18"/>
              </w:rPr>
              <w:t xml:space="preserve">3</w:t>
            </w:r>
          </w:p>
        </w:tc>
        <w:tc>
          <w:tcPr>
            <w:tcW w:type="dxa" w:w="5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¿Quedó pasto alto/disparejo? Chapear a 10–15 cm, dejar mantillo</w:t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Cuadrilla, solo si hace falta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E5A1C"/>
                <w:sz w:val="18"/>
                <w:szCs w:val="18"/>
              </w:rPr>
              <w:t xml:space="preserve">4</w:t>
            </w:r>
          </w:p>
        </w:tc>
        <w:tc>
          <w:tcPr>
            <w:tcW w:type="dxa" w:w="5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Preparar el estañón (200 L) en el potrero y aplicar: MM + melaza + Bayfolan + urea decreciente</w:t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Cuadrilla, en la mañana (6–11 a.m.)</w:t>
            </w:r>
          </w:p>
        </w:tc>
      </w:tr>
      <w:tr>
        <w:tc>
          <w:tcPr>
            <w:tcW w:type="dxa" w:w="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2E5A1C"/>
                <w:sz w:val="18"/>
                <w:szCs w:val="18"/>
              </w:rPr>
              <w:t xml:space="preserve">5</w:t>
            </w:r>
          </w:p>
        </w:tc>
        <w:tc>
          <w:tcPr>
            <w:tcW w:type="dxa" w:w="5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Anotar en el registro: potrero, fecha, qué se aplicó</w:t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Cuadrilla</w:t>
            </w:r>
          </w:p>
        </w:tc>
      </w:tr>
    </w:tbl>
    <w:p>
      <w:pPr>
        <w:spacing w:after="40" w:before="0" w:line="276"/>
      </w:pPr>
      <w:r>
        <w:t xml:space="preserve"/>
      </w:r>
    </w:p>
    <w:p>
      <w:pPr>
        <w:spacing w:after="120" w:before="0" w:line="276"/>
      </w:pPr>
      <w:r>
        <w:t xml:space="preserve">En paralelo y siempre: lecturas de piezómetros (rutina semanal en lluvia, quincenal en seco, y dinámicas tras cada aguacero fuerte). Esa es la base de datos que, dentro de unos meses, nos dirá qué hacer con la parte baja.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F0E0" w:sz="1"/>
              <w:left w:val="single" w:color="2E5A1C" w:sz="24"/>
              <w:bottom w:val="single" w:color="E8F0E0" w:sz="1"/>
              <w:right w:val="single" w:color="E8F0E0" w:sz="1"/>
            </w:tcBorders>
            <w:shd w:fill="E8F0E0" w:val="clear"/>
            <w:tcMar>
              <w:top w:type="dxa" w:w="150"/>
              <w:left w:type="dxa" w:w="220"/>
              <w:bottom w:type="dxa" w:w="150"/>
              <w:right w:type="dxa" w:w="200"/>
            </w:tcMar>
          </w:tcPr>
          <w:p>
            <w:pPr>
              <w:spacing w:after="80"/>
            </w:pPr>
            <w:r>
              <w:rPr>
                <w:b/>
                <w:bCs/>
                <w:color w:val="2E5A1C"/>
                <w:sz w:val="20"/>
                <w:szCs w:val="20"/>
              </w:rPr>
              <w:t xml:space="preserve">Recordatorio de alcance</w:t>
            </w:r>
          </w:p>
          <w:p>
            <w:pPr>
              <w:spacing w:after="80" w:line="264"/>
            </w:pPr>
            <w:r>
              <w:rPr>
                <w:i/>
                <w:iCs/>
                <w:sz w:val="19"/>
                <w:szCs w:val="19"/>
              </w:rPr>
              <w:t xml:space="preserve">Este ciclo SOLO corre en el Grupo A (zona alta) por ahora. La parte baja (N2, N3, N4), la franja del dique y La Lomita entran después, cuando los datos del freático y las ventanas de cada zona lo permitan. Mantener la disciplina de no adelantarse es lo que protege la inversión.</w:t>
            </w:r>
          </w:p>
        </w:tc>
      </w:tr>
    </w:tbl>
    <w:p>
      <w:pPr>
        <w:pStyle w:val="Heading1"/>
      </w:pPr>
      <w:r>
        <w:t xml:space="preserve">7. Hoja de registro (para fotocopiar)</w:t>
      </w:r>
    </w:p>
    <w:p>
      <w:pPr>
        <w:spacing w:after="130" w:before="0" w:line="276"/>
      </w:pPr>
      <w:r>
        <w:t xml:space="preserve">Llevar un registro simple en la galera. Una línea por aplicación y por lectura. Esto alimenta las decisiones de los próximos meses y, más adelante, la app de campo.</w:t>
      </w:r>
    </w:p>
    <w:p>
      <w:pPr>
        <w:pStyle w:val="Heading2"/>
      </w:pPr>
      <w:r>
        <w:t xml:space="preserve">Registro de aplicaciones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600"/>
        <w:gridCol w:w="1400"/>
        <w:gridCol w:w="2660"/>
        <w:gridCol w:w="2200"/>
      </w:tblGrid>
      <w:tr>
        <w:trPr>
          <w:tblHeader/>
        </w:trP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Fecha</w:t>
            </w:r>
          </w:p>
        </w:tc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Potrero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Chapea (S/N)</w:t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Qué se aplicó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Observaciones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60" w:before="0" w:line="276"/>
      </w:pPr>
      <w:r>
        <w:t xml:space="preserve"/>
      </w:r>
    </w:p>
    <w:p>
      <w:pPr>
        <w:pStyle w:val="Heading2"/>
      </w:pPr>
      <w:r>
        <w:t xml:space="preserve">Registro de piezómetros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500"/>
        <w:gridCol w:w="1300"/>
        <w:gridCol w:w="2660"/>
        <w:gridCol w:w="2200"/>
      </w:tblGrid>
      <w:tr>
        <w:trPr>
          <w:tblHeader/>
        </w:trP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Fecha y hora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Piezómetro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Nivel (cm)</w:t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Contexto (seca/lluvia/post-lluvia)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2E5A1C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Observaciones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2F2F2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6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180" w:before="0" w:line="276"/>
      </w:pPr>
      <w:r>
        <w:t xml:space="preserve"/>
      </w:r>
    </w:p>
    <w:p>
      <w:pPr>
        <w:spacing w:after="120" w:before="0" w:line="276"/>
      </w:pPr>
      <w:r>
        <w:rPr>
          <w:i/>
          <w:iCs/>
          <w:color w:val="888888"/>
          <w:sz w:val="16"/>
          <w:szCs w:val="16"/>
        </w:rPr>
        <w:t xml:space="preserve">Anexo operativo del Plan de Manejo Regenerativo — Finca La Lomita. Las cantidades de la receta foliar provienen del plan de fertilización ya usado en la finca. Ajustar según observación de campo. La urea es un componente opcional y decreciente.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tabs>
        <w:tab w:val="right" w:pos="9360"/>
      </w:tabs>
      <w:jc w:val="center"/>
    </w:pPr>
    <w:r>
      <w:rPr>
        <w:color w:val="888888"/>
        <w:sz w:val="16"/>
        <w:szCs w:val="16"/>
      </w:rPr>
      <w:t xml:space="preserve">Anexo Operativo — Finca La Lomita</w:t>
    </w:r>
    <w:r>
      <w:rPr>
        <w:sz w:val="16"/>
        <w:szCs w:val="16"/>
      </w:rPr>
      <w:t xml:space="preserve">	</w:t>
    </w:r>
    <w:r>
      <w:rPr>
        <w:color w:val="888888"/>
        <w:sz w:val="16"/>
        <w:szCs w:val="16"/>
      </w:rPr>
      <w:t xml:space="preserve">Página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54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9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4A7A2E" w:sz="8" w:space="4"/>
      </w:pBdr>
      <w:spacing w:after="140" w:before="240"/>
      <w:outlineLvl w:val="0"/>
    </w:pPr>
    <w:rPr>
      <w:rFonts w:ascii="Calibri" w:cs="Calibri" w:eastAsia="Calibri" w:hAnsi="Calibri"/>
      <w:b/>
      <w:bCs/>
      <w:color w:val="2E5A1C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4A7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4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Operativo Corto Plazo — Finca La Lomita</dc:title>
  <dc:creator>ESD Consultores</dc:creator>
  <cp:lastModifiedBy>Un-named</cp:lastModifiedBy>
  <cp:revision>1</cp:revision>
  <dcterms:created xsi:type="dcterms:W3CDTF">2026-06-13T20:08:12.100Z</dcterms:created>
  <dcterms:modified xsi:type="dcterms:W3CDTF">2026-06-13T20:08:12.100Z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